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160" w:line="240" w:lineRule="auto"/>
        <w:jc w:val="center"/>
        <w:rPr>
          <w:rFonts w:ascii="Calibri" w:cs="Calibri" w:eastAsia="Calibri" w:hAnsi="Calibri"/>
        </w:rPr>
      </w:pPr>
      <w:bookmarkStart w:colFirst="0" w:colLast="0" w:name="_heading=h.oo6gh12oxlyb" w:id="0"/>
      <w:bookmarkEnd w:id="0"/>
      <w:r w:rsidDel="00000000" w:rsidR="00000000" w:rsidRPr="00000000">
        <w:rPr>
          <w:rFonts w:ascii="Calibri" w:cs="Calibri" w:eastAsia="Calibri" w:hAnsi="Calibri"/>
          <w:rtl w:val="0"/>
        </w:rPr>
        <w:t xml:space="preserve">DEBIT AND CREDIT CARD POLICY</w:t>
      </w:r>
    </w:p>
    <w:p w:rsidR="00000000" w:rsidDel="00000000" w:rsidP="00000000" w:rsidRDefault="00000000" w:rsidRPr="00000000" w14:paraId="00000002">
      <w:pPr>
        <w:spacing w:after="16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has established the following policy to outline the expectations for acceptable use of the organization’s credit and debit card(s). Electronic banking aids pose a significant security risk and as such all [Organization Name] employees are expected to exercise care and caution when using the organization’s credit and debit card(s).</w:t>
      </w:r>
    </w:p>
    <w:p w:rsidR="00000000" w:rsidDel="00000000" w:rsidP="00000000" w:rsidRDefault="00000000" w:rsidRPr="00000000" w14:paraId="00000003">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4">
      <w:pPr>
        <w:spacing w:after="160" w:line="240" w:lineRule="auto"/>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In this policy, the terms 'company credit card' and 'company debit card' are defined as follows:</w:t>
      </w:r>
      <w:r w:rsidDel="00000000" w:rsidR="00000000" w:rsidRPr="00000000">
        <w:rPr>
          <w:rtl w:val="0"/>
        </w:rPr>
      </w:r>
    </w:p>
    <w:p w:rsidR="00000000" w:rsidDel="00000000" w:rsidP="00000000" w:rsidRDefault="00000000" w:rsidRPr="00000000" w14:paraId="00000005">
      <w:pPr>
        <w:numPr>
          <w:ilvl w:val="0"/>
          <w:numId w:val="2"/>
        </w:numP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Credit Card: </w:t>
      </w:r>
      <w:r w:rsidDel="00000000" w:rsidR="00000000" w:rsidRPr="00000000">
        <w:rPr>
          <w:rFonts w:ascii="Calibri" w:cs="Calibri" w:eastAsia="Calibri" w:hAnsi="Calibri"/>
          <w:highlight w:val="white"/>
          <w:rtl w:val="0"/>
        </w:rPr>
        <w:t xml:space="preserve">A card issued to employees of [Organization Name] by a financial institution, allowing cardholders to borrow funds up to a set limit for business-related expenses. The organization receives a bill for the accumulated charges and is responsible for payment. This card may be within the bounds stipulated in this policy. </w:t>
      </w:r>
      <w:r w:rsidDel="00000000" w:rsidR="00000000" w:rsidRPr="00000000">
        <w:rPr>
          <w:rtl w:val="0"/>
        </w:rPr>
      </w:r>
    </w:p>
    <w:p w:rsidR="00000000" w:rsidDel="00000000" w:rsidP="00000000" w:rsidRDefault="00000000" w:rsidRPr="00000000" w14:paraId="00000006">
      <w:pPr>
        <w:numPr>
          <w:ilvl w:val="0"/>
          <w:numId w:val="2"/>
        </w:numPr>
        <w:spacing w:after="160" w:line="240" w:lineRule="auto"/>
        <w:ind w:left="720" w:hanging="36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Debit Card: </w:t>
      </w:r>
      <w:r w:rsidDel="00000000" w:rsidR="00000000" w:rsidRPr="00000000">
        <w:rPr>
          <w:rFonts w:ascii="Calibri" w:cs="Calibri" w:eastAsia="Calibri" w:hAnsi="Calibri"/>
          <w:highlight w:val="white"/>
          <w:rtl w:val="0"/>
        </w:rPr>
        <w:t xml:space="preserve">A card issued to employees of [Organization Name] for business-related transactions, directly linked to a company's bank account. Each transaction is immediately deducted from the company's account balance. This card may be within the bounds stipulated in this policy. </w:t>
      </w:r>
      <w:r w:rsidDel="00000000" w:rsidR="00000000" w:rsidRPr="00000000">
        <w:rPr>
          <w:rtl w:val="0"/>
        </w:rPr>
      </w:r>
    </w:p>
    <w:p w:rsidR="00000000" w:rsidDel="00000000" w:rsidP="00000000" w:rsidRDefault="00000000" w:rsidRPr="00000000" w14:paraId="00000007">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only to those who are eligible for the use of the [Organization Name] credit and debit card and to those who administer and track the use of the credit and debit cards.</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Having credit and debit cards available for the company’s use enables [Organization Name] to efficiently track expenditures and realize current fiscal status on a more immediate basis than the use of mailed invoices.</w:t>
      </w:r>
    </w:p>
    <w:p w:rsidR="00000000" w:rsidDel="00000000" w:rsidP="00000000" w:rsidRDefault="00000000" w:rsidRPr="00000000" w14:paraId="0000000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Eligibility</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employment does not guarantee eligibility to use the organization’s credit and debit card. Only those who </w:t>
      </w:r>
      <w:r w:rsidDel="00000000" w:rsidR="00000000" w:rsidRPr="00000000">
        <w:rPr>
          <w:rFonts w:ascii="Calibri" w:cs="Calibri" w:eastAsia="Calibri" w:hAnsi="Calibri"/>
          <w:highlight w:val="yellow"/>
          <w:rtl w:val="0"/>
        </w:rPr>
        <w:t xml:space="preserve">(Insert parameters for eligibility e.g., job function or position in the company) </w:t>
      </w:r>
      <w:r w:rsidDel="00000000" w:rsidR="00000000" w:rsidRPr="00000000">
        <w:rPr>
          <w:rFonts w:ascii="Calibri" w:cs="Calibri" w:eastAsia="Calibri" w:hAnsi="Calibri"/>
          <w:highlight w:val="white"/>
          <w:rtl w:val="0"/>
        </w:rPr>
        <w:t xml:space="preserve">are eligible to use the credit and debit card. This privilege may be revoked at any time by [Organization Name] with minimal notice.</w:t>
      </w:r>
    </w:p>
    <w:p w:rsidR="00000000" w:rsidDel="00000000" w:rsidP="00000000" w:rsidRDefault="00000000" w:rsidRPr="00000000" w14:paraId="0000001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Approval and Authorization</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All credit and debit card expenses must be pre-approved by</w:t>
      </w:r>
      <w:r w:rsidDel="00000000" w:rsidR="00000000" w:rsidRPr="00000000">
        <w:rPr>
          <w:rFonts w:ascii="Calibri" w:cs="Calibri" w:eastAsia="Calibri" w:hAnsi="Calibri"/>
          <w:highlight w:val="yellow"/>
          <w:rtl w:val="0"/>
        </w:rPr>
        <w:t xml:space="preserve"> (Insert title).</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send an email outlining the proposed expenditure. </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be prepared to present a business case regarding why the expenditure should go forward. </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They should also demonstrate multiple sources were considered before deciding on the one for which they want approval. They should be prepared to explain why one supplier should be preferred over another, particularly if the cost is greater with a different supplier.</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Expenses</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expenses made using the credit and debit card must be tracked by the users and the receipts must be handed in to </w:t>
      </w:r>
      <w:r w:rsidDel="00000000" w:rsidR="00000000" w:rsidRPr="00000000">
        <w:rPr>
          <w:rFonts w:ascii="Calibri" w:cs="Calibri" w:eastAsia="Calibri" w:hAnsi="Calibri"/>
          <w:highlight w:val="yellow"/>
          <w:rtl w:val="0"/>
        </w:rPr>
        <w:t xml:space="preserve">(Insert department responsible) </w:t>
      </w:r>
      <w:r w:rsidDel="00000000" w:rsidR="00000000" w:rsidRPr="00000000">
        <w:rPr>
          <w:rFonts w:ascii="Calibri" w:cs="Calibri" w:eastAsia="Calibri" w:hAnsi="Calibri"/>
          <w:highlight w:val="white"/>
          <w:rtl w:val="0"/>
        </w:rPr>
        <w:t xml:space="preserve">so that the credit and debit card bills may be reconciled on a monthly basis.</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be questioned concerning any discrepancies in the receipts or any missing receipts. It is the employee’s responsibility to keep accurate records.</w:t>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fail to submit their expenses on time and incur interest payments will be subject to disciplinary action.</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Fraud and Security</w:t>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with any other digital payment method, there are many ways that the organization’s credit and debit cards could be compromised by outside sources.</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exercise vigilance and ensure that the credit and debit card is on their person if they are away from home or the office. </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not pass their credit and debit card to an unauthorized party under any circumstance. </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required to report the credit and debit card as lost or stolen as soon as they become aware of it. </w:t>
      </w:r>
    </w:p>
    <w:p w:rsidR="00000000" w:rsidDel="00000000" w:rsidP="00000000" w:rsidRDefault="00000000" w:rsidRPr="00000000" w14:paraId="00000029">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title) </w:t>
      </w:r>
      <w:r w:rsidDel="00000000" w:rsidR="00000000" w:rsidRPr="00000000">
        <w:rPr>
          <w:rFonts w:ascii="Calibri" w:cs="Calibri" w:eastAsia="Calibri" w:hAnsi="Calibri"/>
          <w:highlight w:val="white"/>
          <w:rtl w:val="0"/>
        </w:rPr>
        <w:t xml:space="preserve">must be contacted immediately; they will decide if the card should be immediately cancelled.</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credit and debit cards </w:t>
      </w:r>
      <w:r w:rsidDel="00000000" w:rsidR="00000000" w:rsidRPr="00000000">
        <w:rPr>
          <w:rFonts w:ascii="Calibri" w:cs="Calibri" w:eastAsia="Calibri" w:hAnsi="Calibri"/>
          <w:highlight w:val="yellow"/>
          <w:rtl w:val="0"/>
        </w:rPr>
        <w:t xml:space="preserve">(will/will not) </w:t>
      </w:r>
      <w:r w:rsidDel="00000000" w:rsidR="00000000" w:rsidRPr="00000000">
        <w:rPr>
          <w:rFonts w:ascii="Calibri" w:cs="Calibri" w:eastAsia="Calibri" w:hAnsi="Calibri"/>
          <w:highlight w:val="white"/>
          <w:rtl w:val="0"/>
        </w:rPr>
        <w:t xml:space="preserve">have tap enabled up to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not enable the use of any cookies when making business-related expenditures for [Organization Name].</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Acceptable Use</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w:t>
      </w:r>
    </w:p>
    <w:p w:rsidR="00000000" w:rsidDel="00000000" w:rsidP="00000000" w:rsidRDefault="00000000" w:rsidRPr="00000000" w14:paraId="00000030">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Gain personal advantages e.g., Shoppers Optimum Points, Air Miles, etc., through the use of the credit and debit card.</w:t>
      </w:r>
    </w:p>
    <w:p w:rsidR="00000000" w:rsidDel="00000000" w:rsidP="00000000" w:rsidRDefault="00000000" w:rsidRPr="00000000" w14:paraId="00000032">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such activity and the employee will be immediately subject to progressive discipline, possibly involving the immediate revocation of the card. </w:t>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Gain personal advantages e.g., Shoppers Optimum Points, Air Miles, etc., through the use of the credit and debit card.</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the credit and debit card for the purchase of any pornographic or illegal materials </w:t>
      </w:r>
      <w:r w:rsidDel="00000000" w:rsidR="00000000" w:rsidRPr="00000000">
        <w:rPr>
          <w:rFonts w:ascii="Calibri" w:cs="Calibri" w:eastAsia="Calibri" w:hAnsi="Calibri"/>
          <w:highlight w:val="yellow"/>
          <w:rtl w:val="0"/>
        </w:rPr>
        <w:t xml:space="preserve">(including weapons)</w:t>
      </w:r>
    </w:p>
    <w:p w:rsidR="00000000" w:rsidDel="00000000" w:rsidP="00000000" w:rsidRDefault="00000000" w:rsidRPr="00000000" w14:paraId="00000035">
      <w:pPr>
        <w:numPr>
          <w:ilvl w:val="1"/>
          <w:numId w:val="1"/>
        </w:numPr>
        <w:spacing w:line="240" w:lineRule="auto"/>
        <w:ind w:left="1440" w:hanging="360"/>
        <w:rPr>
          <w:rFonts w:ascii="Calibri" w:cs="Calibri" w:eastAsia="Calibri" w:hAnsi="Calibri"/>
          <w:highlight w:val="white"/>
        </w:rPr>
      </w:pPr>
      <w:bookmarkStart w:colFirst="0" w:colLast="0" w:name="_heading=h.gjdgxs" w:id="1"/>
      <w:bookmarkEnd w:id="1"/>
      <w:r w:rsidDel="00000000" w:rsidR="00000000" w:rsidRPr="00000000">
        <w:rPr>
          <w:rFonts w:ascii="Calibri" w:cs="Calibri" w:eastAsia="Calibri" w:hAnsi="Calibri"/>
          <w:highlight w:val="white"/>
          <w:rtl w:val="0"/>
        </w:rPr>
        <w:t xml:space="preserve">If [Organization Name] becomes aware of any illegal transactions, the matter will be referred to the police. </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Make an account with a retailer and save the card to their profile to enable future purchases.</w:t>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Return of the Credit Card</w:t>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Upon discontinuation of the employee’s service at [Organization Name], the employee is required to return the credit and debit card to (</w:t>
      </w:r>
      <w:r w:rsidDel="00000000" w:rsidR="00000000" w:rsidRPr="00000000">
        <w:rPr>
          <w:rFonts w:ascii="Calibri" w:cs="Calibri" w:eastAsia="Calibri" w:hAnsi="Calibri"/>
          <w:highlight w:val="yellow"/>
          <w:rtl w:val="0"/>
        </w:rPr>
        <w:t xml:space="preserve">Insert title).</w:t>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circumstances may also require the return of the card. Employees are required to surrender the card upon request.</w:t>
      </w:r>
    </w:p>
    <w:p w:rsidR="00000000" w:rsidDel="00000000" w:rsidP="00000000" w:rsidRDefault="00000000" w:rsidRPr="00000000" w14:paraId="0000003D">
      <w:pPr>
        <w:spacing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center"/>
      <w:rPr/>
    </w:pPr>
    <w:r w:rsidDel="00000000" w:rsidR="00000000" w:rsidRPr="00000000">
      <w:rPr/>
      <w:drawing>
        <wp:inline distB="114300" distT="114300" distL="114300" distR="114300">
          <wp:extent cx="2854163" cy="713541"/>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4163" cy="7135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30.0" w:type="dxa"/>
        <w:bottom w:w="0.0" w:type="dxa"/>
        <w:right w:w="30.0" w:type="dxa"/>
      </w:tblCellMar>
    </w:tblPr>
  </w:style>
  <w:style w:type="table" w:styleId="Table3">
    <w:basedOn w:val="TableNormal"/>
    <w:tblPr>
      <w:tblStyleRowBandSize w:val="1"/>
      <w:tblStyleColBandSize w:val="1"/>
      <w:tblCellMar>
        <w:top w:w="0.0" w:type="dxa"/>
        <w:left w:w="30.0" w:type="dxa"/>
        <w:bottom w:w="0.0" w:type="dxa"/>
        <w:right w:w="30.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30.0" w:type="dxa"/>
        <w:bottom w:w="0.0" w:type="dxa"/>
        <w:right w:w="30.0" w:type="dxa"/>
      </w:tblCellMar>
    </w:tblPr>
  </w:style>
  <w:style w:type="table" w:styleId="Table7">
    <w:basedOn w:val="TableNormal"/>
    <w:tblPr>
      <w:tblStyleRowBandSize w:val="1"/>
      <w:tblStyleColBandSize w:val="1"/>
      <w:tblCellMar>
        <w:top w:w="0.0" w:type="dxa"/>
        <w:left w:w="30.0" w:type="dxa"/>
        <w:bottom w:w="0.0" w:type="dxa"/>
        <w:right w:w="30.0" w:type="dxa"/>
      </w:tblCellMar>
    </w:tblPr>
  </w:style>
  <w:style w:type="table" w:styleId="Table8">
    <w:basedOn w:val="TableNormal"/>
    <w:tblPr>
      <w:tblStyleRowBandSize w:val="1"/>
      <w:tblStyleColBandSize w:val="1"/>
      <w:tblCellMar>
        <w:top w:w="0.0" w:type="dxa"/>
        <w:left w:w="30.0" w:type="dxa"/>
        <w:bottom w:w="0.0" w:type="dxa"/>
        <w:right w:w="30.0" w:type="dxa"/>
      </w:tblCellMar>
    </w:tblPr>
  </w:style>
  <w:style w:type="table" w:styleId="Table9">
    <w:basedOn w:val="TableNormal"/>
    <w:tblPr>
      <w:tblStyleRowBandSize w:val="1"/>
      <w:tblStyleColBandSize w:val="1"/>
      <w:tblCellMar>
        <w:top w:w="0.0" w:type="dxa"/>
        <w:left w:w="30.0" w:type="dxa"/>
        <w:bottom w:w="0.0" w:type="dxa"/>
        <w:right w:w="30.0" w:type="dxa"/>
      </w:tblCellMar>
    </w:tblPr>
  </w:style>
  <w:style w:type="table" w:styleId="Table10">
    <w:basedOn w:val="TableNormal"/>
    <w:tblPr>
      <w:tblStyleRowBandSize w:val="1"/>
      <w:tblStyleColBandSize w:val="1"/>
      <w:tblCellMar>
        <w:top w:w="0.0" w:type="dxa"/>
        <w:left w:w="30.0" w:type="dxa"/>
        <w:bottom w:w="0.0" w:type="dxa"/>
        <w:right w:w="30.0" w:type="dxa"/>
      </w:tblCellMar>
    </w:tblPr>
  </w:style>
  <w:style w:type="table" w:styleId="Table11">
    <w:basedOn w:val="TableNormal"/>
    <w:tblPr>
      <w:tblStyleRowBandSize w:val="1"/>
      <w:tblStyleColBandSize w:val="1"/>
      <w:tblCellMar>
        <w:top w:w="0.0" w:type="dxa"/>
        <w:left w:w="30.0" w:type="dxa"/>
        <w:bottom w:w="0.0" w:type="dxa"/>
        <w:right w:w="30.0" w:type="dxa"/>
      </w:tblCellMar>
    </w:tblPr>
  </w:style>
  <w:style w:type="table" w:styleId="Table12">
    <w:basedOn w:val="TableNormal"/>
    <w:tblPr>
      <w:tblStyleRowBandSize w:val="1"/>
      <w:tblStyleColBandSize w:val="1"/>
      <w:tblCellMar>
        <w:top w:w="0.0" w:type="dxa"/>
        <w:left w:w="30.0" w:type="dxa"/>
        <w:bottom w:w="0.0" w:type="dxa"/>
        <w:right w:w="30.0" w:type="dxa"/>
      </w:tblCellMar>
    </w:tblPr>
  </w:style>
  <w:style w:type="table" w:styleId="Table13">
    <w:basedOn w:val="TableNormal"/>
    <w:tblPr>
      <w:tblStyleRowBandSize w:val="1"/>
      <w:tblStyleColBandSize w:val="1"/>
      <w:tblCellMar>
        <w:top w:w="0.0" w:type="dxa"/>
        <w:left w:w="30.0" w:type="dxa"/>
        <w:bottom w:w="0.0" w:type="dxa"/>
        <w:right w:w="30.0" w:type="dxa"/>
      </w:tblCellMar>
    </w:tblPr>
  </w:style>
  <w:style w:type="table" w:styleId="Table14">
    <w:basedOn w:val="TableNormal"/>
    <w:tblPr>
      <w:tblStyleRowBandSize w:val="1"/>
      <w:tblStyleColBandSize w:val="1"/>
      <w:tblCellMar>
        <w:top w:w="0.0" w:type="dxa"/>
        <w:left w:w="30.0" w:type="dxa"/>
        <w:bottom w:w="0.0" w:type="dxa"/>
        <w:right w:w="3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4ck51UjeQoEUIz0WBf6OoG6VMQ==">CgMxLjAyDmgub282Z2gxMm94bHliMghoLmdqZGd4czgAciExclZFSGZmVE5OR3k4VG9WeTZDZTZEWVRJcUZBd1Q5ZW8=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